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44" w:rsidRPr="003646FD" w:rsidRDefault="00B83D32" w:rsidP="00106744">
      <w:pPr>
        <w:pBdr>
          <w:top w:val="single" w:sz="4" w:space="1" w:color="auto"/>
          <w:left w:val="single" w:sz="4" w:space="4" w:color="auto"/>
          <w:bottom w:val="single" w:sz="4" w:space="1" w:color="auto"/>
          <w:right w:val="single" w:sz="4" w:space="4" w:color="auto"/>
        </w:pBdr>
        <w:jc w:val="center"/>
        <w:rPr>
          <w:rFonts w:ascii="Calibri" w:hAnsi="Calibri"/>
          <w:b/>
          <w:color w:val="1F497D" w:themeColor="text2"/>
          <w:sz w:val="32"/>
          <w:szCs w:val="32"/>
          <w:lang w:val="en-GB"/>
        </w:rPr>
      </w:pPr>
      <w:bookmarkStart w:id="0" w:name="_GoBack"/>
      <w:bookmarkEnd w:id="0"/>
      <w:r>
        <w:rPr>
          <w:rFonts w:ascii="Calibri" w:hAnsi="Calibri"/>
          <w:b/>
          <w:color w:val="1F497D" w:themeColor="text2"/>
          <w:sz w:val="32"/>
          <w:szCs w:val="32"/>
          <w:lang w:val="en-GB"/>
        </w:rPr>
        <w:t>Communique</w:t>
      </w:r>
    </w:p>
    <w:p w:rsidR="00106744" w:rsidRPr="003646FD" w:rsidRDefault="00106744" w:rsidP="00106744">
      <w:pPr>
        <w:pBdr>
          <w:top w:val="single" w:sz="4" w:space="1" w:color="auto"/>
          <w:left w:val="single" w:sz="4" w:space="4" w:color="auto"/>
          <w:bottom w:val="single" w:sz="4" w:space="1" w:color="auto"/>
          <w:right w:val="single" w:sz="4" w:space="4" w:color="auto"/>
        </w:pBdr>
        <w:jc w:val="center"/>
        <w:rPr>
          <w:rFonts w:ascii="Calibri" w:hAnsi="Calibri"/>
          <w:b/>
          <w:color w:val="1F497D" w:themeColor="text2"/>
          <w:sz w:val="32"/>
          <w:szCs w:val="32"/>
          <w:lang w:val="en-GB"/>
        </w:rPr>
      </w:pPr>
      <w:r w:rsidRPr="003646FD">
        <w:rPr>
          <w:rFonts w:ascii="Calibri" w:hAnsi="Calibri"/>
          <w:b/>
          <w:color w:val="1F497D" w:themeColor="text2"/>
          <w:sz w:val="32"/>
          <w:szCs w:val="32"/>
          <w:lang w:val="en-GB"/>
        </w:rPr>
        <w:t>EUROPEAN WOMEN’S LOBBY CENTRAL, EASTERN AND SOUTH EASTERN EUROPE TASK FORCE</w:t>
      </w:r>
    </w:p>
    <w:p w:rsidR="00106744" w:rsidRPr="003646FD" w:rsidRDefault="003646FD" w:rsidP="003646FD">
      <w:pPr>
        <w:pStyle w:val="Odstavecseseznamem"/>
        <w:numPr>
          <w:ilvl w:val="1"/>
          <w:numId w:val="17"/>
        </w:numPr>
        <w:pBdr>
          <w:top w:val="single" w:sz="4" w:space="1" w:color="auto"/>
          <w:left w:val="single" w:sz="4" w:space="4" w:color="auto"/>
          <w:bottom w:val="single" w:sz="4" w:space="1" w:color="auto"/>
          <w:right w:val="single" w:sz="4" w:space="4" w:color="auto"/>
        </w:pBdr>
        <w:jc w:val="center"/>
        <w:rPr>
          <w:rFonts w:ascii="Calibri" w:hAnsi="Calibri"/>
          <w:b/>
          <w:color w:val="1F497D" w:themeColor="text2"/>
          <w:sz w:val="32"/>
          <w:szCs w:val="32"/>
        </w:rPr>
      </w:pPr>
      <w:r w:rsidRPr="003646FD">
        <w:rPr>
          <w:rFonts w:ascii="Calibri" w:hAnsi="Calibri"/>
          <w:b/>
          <w:color w:val="1F497D" w:themeColor="text2"/>
          <w:sz w:val="32"/>
          <w:szCs w:val="32"/>
        </w:rPr>
        <w:t xml:space="preserve"> J</w:t>
      </w:r>
      <w:r w:rsidR="00106744" w:rsidRPr="003646FD">
        <w:rPr>
          <w:rFonts w:ascii="Calibri" w:hAnsi="Calibri"/>
          <w:b/>
          <w:color w:val="1F497D" w:themeColor="text2"/>
          <w:sz w:val="32"/>
          <w:szCs w:val="32"/>
        </w:rPr>
        <w:t>ANUARY 2015</w:t>
      </w:r>
    </w:p>
    <w:p w:rsidR="00F045D0" w:rsidRDefault="00F045D0" w:rsidP="002B6364">
      <w:pPr>
        <w:spacing w:after="0" w:line="240" w:lineRule="auto"/>
        <w:jc w:val="both"/>
        <w:outlineLvl w:val="2"/>
        <w:rPr>
          <w:rFonts w:eastAsia="Times New Roman" w:cs="Times New Roman"/>
          <w:b/>
          <w:bCs/>
          <w:lang w:val="en-GB" w:eastAsia="en-GB"/>
        </w:rPr>
      </w:pPr>
      <w:r w:rsidRPr="002B6364">
        <w:rPr>
          <w:rFonts w:eastAsia="Times New Roman" w:cs="Times New Roman"/>
          <w:b/>
          <w:bCs/>
          <w:lang w:val="en-GB" w:eastAsia="en-GB"/>
        </w:rPr>
        <w:t xml:space="preserve">The European Women’s Lobby (EWL) is the largest umbrella organisation of women’s associations in the European Union (EU), working to promote women’s rights and equality between women and men. EWL membership extends to organisations in all 28 EU member states and the three candidate countries, as well as to 20 European-wide bodies, representing a total of more than 2500 organisations. </w:t>
      </w:r>
    </w:p>
    <w:p w:rsidR="002B6364" w:rsidRPr="002B6364" w:rsidRDefault="002B6364" w:rsidP="002B6364">
      <w:pPr>
        <w:spacing w:after="0" w:line="240" w:lineRule="auto"/>
        <w:jc w:val="both"/>
        <w:outlineLvl w:val="2"/>
        <w:rPr>
          <w:rFonts w:eastAsia="Times New Roman" w:cs="Times New Roman"/>
          <w:b/>
          <w:bCs/>
          <w:lang w:val="en-GB" w:eastAsia="en-GB"/>
        </w:rPr>
      </w:pPr>
    </w:p>
    <w:p w:rsidR="00B83D32" w:rsidRPr="002B6364" w:rsidRDefault="00B83D32" w:rsidP="002B6364">
      <w:pPr>
        <w:snapToGrid w:val="0"/>
        <w:spacing w:after="0" w:line="240" w:lineRule="auto"/>
        <w:jc w:val="both"/>
        <w:rPr>
          <w:rFonts w:cs="Arial"/>
          <w:color w:val="404040"/>
          <w:lang w:val="en-GB"/>
        </w:rPr>
      </w:pPr>
      <w:r w:rsidRPr="002B6364">
        <w:rPr>
          <w:color w:val="404040"/>
          <w:lang w:val="en-US"/>
        </w:rPr>
        <w:t>On the 10</w:t>
      </w:r>
      <w:r w:rsidRPr="002B6364">
        <w:rPr>
          <w:color w:val="404040"/>
          <w:vertAlign w:val="superscript"/>
          <w:lang w:val="en-US"/>
        </w:rPr>
        <w:t>th</w:t>
      </w:r>
      <w:r w:rsidRPr="002B6364">
        <w:rPr>
          <w:color w:val="404040"/>
          <w:lang w:val="en-US"/>
        </w:rPr>
        <w:t xml:space="preserve"> Anniversary of the EU-membership of the countries in </w:t>
      </w:r>
      <w:r w:rsidRPr="002B6364">
        <w:rPr>
          <w:color w:val="404040"/>
          <w:lang w:val="en-GB"/>
        </w:rPr>
        <w:t>East Central European, Baltic and Balkan States</w:t>
      </w:r>
      <w:r w:rsidRPr="002B6364">
        <w:rPr>
          <w:color w:val="404040"/>
          <w:lang w:val="en-US"/>
        </w:rPr>
        <w:t xml:space="preserve">, there are serious concerns about the extent to which EU membership has brought benefits in terms of gender equality. Challenges in terms of pay gap, women’s political participation, violence against women and political space for women’s organisations persist and in some cases are growing. Therefore EWL membership has identified a need to come together to discuss common strategies to address institutional, human rights and economic aspects of gender inequality in </w:t>
      </w:r>
      <w:r w:rsidRPr="002B6364">
        <w:rPr>
          <w:color w:val="404040"/>
          <w:lang w:val="en-GB"/>
        </w:rPr>
        <w:t xml:space="preserve">East Central European, Baltic and Balkan States. The </w:t>
      </w:r>
      <w:r w:rsidRPr="002B6364">
        <w:rPr>
          <w:rFonts w:cs="Arial"/>
          <w:color w:val="404040"/>
          <w:lang w:val="en-GB"/>
        </w:rPr>
        <w:t xml:space="preserve">purpose of the EWL </w:t>
      </w:r>
      <w:r w:rsidRPr="002B6364">
        <w:rPr>
          <w:b/>
          <w:color w:val="404040"/>
          <w:lang w:val="en-GB"/>
        </w:rPr>
        <w:t xml:space="preserve">Task Force on </w:t>
      </w:r>
      <w:r w:rsidRPr="002B6364">
        <w:rPr>
          <w:color w:val="404040"/>
          <w:lang w:val="en-GB"/>
        </w:rPr>
        <w:t xml:space="preserve">East Central European, Baltic and Balkan States </w:t>
      </w:r>
      <w:r w:rsidRPr="002B6364">
        <w:rPr>
          <w:rFonts w:cs="Arial"/>
          <w:color w:val="404040"/>
          <w:lang w:val="en-GB"/>
        </w:rPr>
        <w:t xml:space="preserve">is to: </w:t>
      </w:r>
    </w:p>
    <w:p w:rsidR="00B83D32" w:rsidRPr="002B6364" w:rsidRDefault="00B83D32" w:rsidP="002B6364">
      <w:pPr>
        <w:numPr>
          <w:ilvl w:val="0"/>
          <w:numId w:val="7"/>
        </w:numPr>
        <w:suppressAutoHyphens/>
        <w:spacing w:after="0" w:line="240" w:lineRule="auto"/>
        <w:ind w:left="714" w:hanging="357"/>
        <w:rPr>
          <w:rFonts w:cs="Arial"/>
          <w:color w:val="404040"/>
          <w:lang w:val="en-GB"/>
        </w:rPr>
      </w:pPr>
      <w:r w:rsidRPr="002B6364">
        <w:rPr>
          <w:rFonts w:cs="Arial"/>
          <w:color w:val="404040"/>
          <w:lang w:val="en-GB"/>
        </w:rPr>
        <w:t xml:space="preserve">Share information and learning amongst Members of the EWL in </w:t>
      </w:r>
      <w:r w:rsidRPr="002B6364">
        <w:rPr>
          <w:color w:val="404040"/>
          <w:lang w:val="en-GB"/>
        </w:rPr>
        <w:t>East Central European, Baltic and Balkan States</w:t>
      </w:r>
      <w:r w:rsidRPr="002B6364">
        <w:rPr>
          <w:lang w:val="en-GB"/>
        </w:rPr>
        <w:t xml:space="preserve"> </w:t>
      </w:r>
      <w:r w:rsidRPr="002B6364">
        <w:rPr>
          <w:rFonts w:cs="Arial"/>
          <w:color w:val="404040"/>
          <w:lang w:val="en-GB"/>
        </w:rPr>
        <w:t xml:space="preserve">to identify any gaps and synergies. </w:t>
      </w:r>
    </w:p>
    <w:p w:rsidR="00B83D32" w:rsidRPr="002B6364" w:rsidRDefault="00B83D32" w:rsidP="002B6364">
      <w:pPr>
        <w:numPr>
          <w:ilvl w:val="0"/>
          <w:numId w:val="7"/>
        </w:numPr>
        <w:suppressAutoHyphens/>
        <w:spacing w:after="0" w:line="240" w:lineRule="auto"/>
        <w:ind w:left="714" w:hanging="357"/>
        <w:rPr>
          <w:rFonts w:cs="Arial"/>
          <w:color w:val="404040"/>
          <w:lang w:val="en-GB"/>
        </w:rPr>
      </w:pPr>
      <w:r w:rsidRPr="002B6364">
        <w:rPr>
          <w:rFonts w:cs="Arial"/>
          <w:color w:val="404040"/>
          <w:lang w:val="en-GB"/>
        </w:rPr>
        <w:t xml:space="preserve">Strengthen joint strategies for advancing gender equality and challenging resistance. </w:t>
      </w:r>
    </w:p>
    <w:p w:rsidR="00B83D32" w:rsidRPr="002B6364" w:rsidRDefault="00B83D32" w:rsidP="002B6364">
      <w:pPr>
        <w:numPr>
          <w:ilvl w:val="0"/>
          <w:numId w:val="7"/>
        </w:numPr>
        <w:suppressAutoHyphens/>
        <w:spacing w:after="0" w:line="240" w:lineRule="auto"/>
        <w:ind w:left="714" w:hanging="357"/>
        <w:rPr>
          <w:rFonts w:cs="Arial"/>
          <w:color w:val="404040"/>
          <w:lang w:val="en-GB"/>
        </w:rPr>
      </w:pPr>
      <w:r w:rsidRPr="002B6364">
        <w:rPr>
          <w:rFonts w:cs="Arial"/>
          <w:color w:val="404040"/>
          <w:lang w:val="en-GB"/>
        </w:rPr>
        <w:t xml:space="preserve">Design and implement common projects </w:t>
      </w:r>
    </w:p>
    <w:p w:rsidR="00B83D32" w:rsidRPr="002B6364" w:rsidRDefault="00B83D32" w:rsidP="002B6364">
      <w:pPr>
        <w:spacing w:after="0" w:line="240" w:lineRule="auto"/>
        <w:jc w:val="both"/>
        <w:rPr>
          <w:b/>
          <w:lang w:val="en-GB"/>
        </w:rPr>
      </w:pPr>
    </w:p>
    <w:p w:rsidR="002B6364" w:rsidRDefault="002B6364" w:rsidP="002B6364">
      <w:pPr>
        <w:spacing w:after="0" w:line="240" w:lineRule="auto"/>
        <w:rPr>
          <w:lang w:val="en-GB"/>
        </w:rPr>
      </w:pPr>
      <w:r>
        <w:rPr>
          <w:lang w:val="en-GB"/>
        </w:rPr>
        <w:t xml:space="preserve">The Task Force had its first meeting on 19-21 January 2015, to share information, develop a common analysis of the threats and opportunities for women’s rights in the region, as well as to develop common intervention strategies to address the backlash and bolster support for women’s rights.  </w:t>
      </w:r>
    </w:p>
    <w:p w:rsidR="002B6364" w:rsidRDefault="002B6364" w:rsidP="002B6364">
      <w:pPr>
        <w:spacing w:after="0" w:line="240" w:lineRule="auto"/>
        <w:rPr>
          <w:lang w:val="en-GB"/>
        </w:rPr>
      </w:pPr>
    </w:p>
    <w:p w:rsidR="00DC6C1F" w:rsidRPr="002B6364" w:rsidRDefault="00B83D32" w:rsidP="002B6364">
      <w:pPr>
        <w:spacing w:after="0" w:line="240" w:lineRule="auto"/>
        <w:rPr>
          <w:b/>
          <w:lang w:val="en-GB"/>
        </w:rPr>
      </w:pPr>
      <w:r w:rsidRPr="002B6364">
        <w:rPr>
          <w:lang w:val="en-GB"/>
        </w:rPr>
        <w:t>As a Task Force</w:t>
      </w:r>
      <w:r w:rsidR="00106744" w:rsidRPr="002B6364">
        <w:rPr>
          <w:lang w:val="en-GB"/>
        </w:rPr>
        <w:t xml:space="preserve"> </w:t>
      </w:r>
      <w:r w:rsidR="00DC6C1F" w:rsidRPr="002B6364">
        <w:rPr>
          <w:lang w:val="en-GB"/>
        </w:rPr>
        <w:t xml:space="preserve">we shared information on the following </w:t>
      </w:r>
      <w:r w:rsidR="002160D7" w:rsidRPr="002B6364">
        <w:rPr>
          <w:lang w:val="en-GB"/>
        </w:rPr>
        <w:t xml:space="preserve"> </w:t>
      </w:r>
      <w:r w:rsidR="00106744" w:rsidRPr="002B6364">
        <w:rPr>
          <w:lang w:val="en-GB"/>
        </w:rPr>
        <w:t>k</w:t>
      </w:r>
      <w:r w:rsidR="00DC6C1F" w:rsidRPr="002B6364">
        <w:rPr>
          <w:b/>
          <w:lang w:val="en-GB"/>
        </w:rPr>
        <w:t>ey questions:</w:t>
      </w:r>
    </w:p>
    <w:p w:rsidR="00DC6C1F" w:rsidRPr="002B6364" w:rsidRDefault="00DC6C1F" w:rsidP="002B6364">
      <w:pPr>
        <w:pStyle w:val="Odstavecseseznamem"/>
        <w:numPr>
          <w:ilvl w:val="0"/>
          <w:numId w:val="5"/>
        </w:numPr>
        <w:spacing w:before="0" w:beforeAutospacing="0" w:after="0" w:afterAutospacing="0"/>
        <w:ind w:left="459" w:hanging="459"/>
        <w:contextualSpacing/>
        <w:rPr>
          <w:rFonts w:asciiTheme="minorHAnsi" w:hAnsiTheme="minorHAnsi"/>
          <w:sz w:val="22"/>
          <w:szCs w:val="22"/>
        </w:rPr>
      </w:pPr>
      <w:r w:rsidRPr="002B6364">
        <w:rPr>
          <w:rFonts w:asciiTheme="minorHAnsi" w:hAnsiTheme="minorHAnsi"/>
          <w:sz w:val="22"/>
          <w:szCs w:val="22"/>
        </w:rPr>
        <w:t>Can you describe the general situation for women in your country and any trends around women in power, women in the economy, VAW?</w:t>
      </w:r>
    </w:p>
    <w:p w:rsidR="00DC6C1F" w:rsidRPr="002B6364" w:rsidRDefault="00DC6C1F" w:rsidP="002B6364">
      <w:pPr>
        <w:pStyle w:val="Odstavecseseznamem"/>
        <w:numPr>
          <w:ilvl w:val="0"/>
          <w:numId w:val="5"/>
        </w:numPr>
        <w:spacing w:before="0" w:beforeAutospacing="0" w:after="0" w:afterAutospacing="0"/>
        <w:ind w:left="459" w:hanging="459"/>
        <w:contextualSpacing/>
        <w:rPr>
          <w:rFonts w:asciiTheme="minorHAnsi" w:hAnsiTheme="minorHAnsi"/>
          <w:sz w:val="22"/>
          <w:szCs w:val="22"/>
        </w:rPr>
      </w:pPr>
      <w:r w:rsidRPr="002B6364">
        <w:rPr>
          <w:rFonts w:asciiTheme="minorHAnsi" w:hAnsiTheme="minorHAnsi"/>
          <w:sz w:val="22"/>
          <w:szCs w:val="22"/>
        </w:rPr>
        <w:t xml:space="preserve">What are the key external political threats including - but not limited to - women’s rights? </w:t>
      </w:r>
    </w:p>
    <w:p w:rsidR="00DC6C1F" w:rsidRPr="002B6364" w:rsidRDefault="00DC6C1F" w:rsidP="002B6364">
      <w:pPr>
        <w:pStyle w:val="Odstavecseseznamem"/>
        <w:numPr>
          <w:ilvl w:val="0"/>
          <w:numId w:val="5"/>
        </w:numPr>
        <w:spacing w:before="0" w:beforeAutospacing="0" w:after="0" w:afterAutospacing="0"/>
        <w:ind w:left="459" w:hanging="459"/>
        <w:contextualSpacing/>
        <w:rPr>
          <w:rFonts w:asciiTheme="minorHAnsi" w:hAnsiTheme="minorHAnsi"/>
          <w:sz w:val="22"/>
          <w:szCs w:val="22"/>
        </w:rPr>
      </w:pPr>
      <w:r w:rsidRPr="002B6364">
        <w:rPr>
          <w:rFonts w:asciiTheme="minorHAnsi" w:hAnsiTheme="minorHAnsi"/>
          <w:sz w:val="22"/>
          <w:szCs w:val="22"/>
        </w:rPr>
        <w:t>What is the state of institutional mechanisms for gender equality (ministries, gender equality department)?</w:t>
      </w:r>
    </w:p>
    <w:p w:rsidR="00DC6C1F" w:rsidRPr="002B6364" w:rsidRDefault="00DC6C1F" w:rsidP="002B6364">
      <w:pPr>
        <w:pStyle w:val="Odstavecseseznamem"/>
        <w:numPr>
          <w:ilvl w:val="0"/>
          <w:numId w:val="5"/>
        </w:numPr>
        <w:spacing w:before="0" w:beforeAutospacing="0" w:after="0" w:afterAutospacing="0"/>
        <w:ind w:left="459" w:hanging="459"/>
        <w:contextualSpacing/>
        <w:rPr>
          <w:rFonts w:asciiTheme="minorHAnsi" w:hAnsiTheme="minorHAnsi"/>
          <w:sz w:val="22"/>
          <w:szCs w:val="22"/>
        </w:rPr>
      </w:pPr>
      <w:r w:rsidRPr="002B6364">
        <w:rPr>
          <w:rFonts w:asciiTheme="minorHAnsi" w:hAnsiTheme="minorHAnsi"/>
          <w:sz w:val="22"/>
          <w:szCs w:val="22"/>
        </w:rPr>
        <w:t xml:space="preserve">Do you have the “gender ideology” debate, and how is that impacting on women’s rights. In your assessment who or what is driving that debate? </w:t>
      </w:r>
    </w:p>
    <w:p w:rsidR="00DC6C1F" w:rsidRPr="002B6364" w:rsidRDefault="00DC6C1F" w:rsidP="002B6364">
      <w:pPr>
        <w:pStyle w:val="Odstavecseseznamem"/>
        <w:numPr>
          <w:ilvl w:val="0"/>
          <w:numId w:val="5"/>
        </w:numPr>
        <w:spacing w:before="0" w:beforeAutospacing="0" w:after="0" w:afterAutospacing="0"/>
        <w:ind w:left="459" w:hanging="459"/>
        <w:contextualSpacing/>
        <w:rPr>
          <w:rFonts w:asciiTheme="minorHAnsi" w:hAnsiTheme="minorHAnsi"/>
          <w:sz w:val="22"/>
          <w:szCs w:val="22"/>
        </w:rPr>
      </w:pPr>
      <w:r w:rsidRPr="002B6364">
        <w:rPr>
          <w:rFonts w:asciiTheme="minorHAnsi" w:hAnsiTheme="minorHAnsi"/>
          <w:sz w:val="22"/>
          <w:szCs w:val="22"/>
        </w:rPr>
        <w:t>What are the major challenges faced by women’s organisations (internal)</w:t>
      </w:r>
    </w:p>
    <w:p w:rsidR="002B6364" w:rsidRDefault="002B6364" w:rsidP="002B6364">
      <w:pPr>
        <w:spacing w:after="0" w:line="240" w:lineRule="auto"/>
        <w:jc w:val="both"/>
        <w:rPr>
          <w:lang w:val="en-GB"/>
        </w:rPr>
      </w:pPr>
    </w:p>
    <w:p w:rsidR="00F045D0" w:rsidRDefault="00A04D68" w:rsidP="002B6364">
      <w:pPr>
        <w:spacing w:after="0" w:line="240" w:lineRule="auto"/>
        <w:jc w:val="both"/>
        <w:rPr>
          <w:lang w:val="en-GB"/>
        </w:rPr>
      </w:pPr>
      <w:r w:rsidRPr="002B6364">
        <w:rPr>
          <w:lang w:val="en-GB"/>
        </w:rPr>
        <w:t>Based on this information sharing, w</w:t>
      </w:r>
      <w:r w:rsidR="00DC6C1F" w:rsidRPr="002B6364">
        <w:rPr>
          <w:lang w:val="en-GB"/>
        </w:rPr>
        <w:t xml:space="preserve">e then did some initial analysis </w:t>
      </w:r>
      <w:r w:rsidR="00AE0733" w:rsidRPr="002B6364">
        <w:rPr>
          <w:lang w:val="en-GB"/>
        </w:rPr>
        <w:t xml:space="preserve">of trends, impact and responses </w:t>
      </w:r>
      <w:r w:rsidR="00DC6C1F" w:rsidRPr="002B6364">
        <w:rPr>
          <w:lang w:val="en-GB"/>
        </w:rPr>
        <w:t>We deepened the analysis of the Strengths, Weakness , Opportunities and Threats: looking at the impact on women’s righ</w:t>
      </w:r>
      <w:r w:rsidR="00F045D0" w:rsidRPr="002B6364">
        <w:rPr>
          <w:lang w:val="en-GB"/>
        </w:rPr>
        <w:t>t</w:t>
      </w:r>
      <w:r w:rsidR="00DC6C1F" w:rsidRPr="002B6364">
        <w:rPr>
          <w:lang w:val="en-GB"/>
        </w:rPr>
        <w:t xml:space="preserve">s, impact on the women’s movement and possible future responses . </w:t>
      </w:r>
      <w:r w:rsidR="00F045D0" w:rsidRPr="002B6364">
        <w:rPr>
          <w:lang w:val="en-GB"/>
        </w:rPr>
        <w:t xml:space="preserve"> We examined how these challenges and threats have the potential to impact on the EU as a whole through undermining core EU values of equality between women and men, fighting discrimination, eliminating poverty and securing democratic, inclusive societies. Finally we also started to look at the impact on pre accession countries and processes.  </w:t>
      </w:r>
    </w:p>
    <w:p w:rsidR="002B6364" w:rsidRDefault="002B6364" w:rsidP="002B6364">
      <w:pPr>
        <w:spacing w:after="0" w:line="240" w:lineRule="auto"/>
        <w:jc w:val="both"/>
        <w:rPr>
          <w:lang w:val="en-GB"/>
        </w:rPr>
      </w:pPr>
    </w:p>
    <w:p w:rsidR="002B6364" w:rsidRPr="002B6364" w:rsidRDefault="002B6364" w:rsidP="002B6364">
      <w:pPr>
        <w:spacing w:after="0" w:line="240" w:lineRule="auto"/>
        <w:jc w:val="both"/>
        <w:rPr>
          <w:u w:val="single"/>
          <w:lang w:val="en-GB"/>
        </w:rPr>
      </w:pPr>
      <w:r w:rsidRPr="002B6364">
        <w:rPr>
          <w:u w:val="single"/>
          <w:lang w:val="en-GB"/>
        </w:rPr>
        <w:lastRenderedPageBreak/>
        <w:t>Summary of the threats identified:</w:t>
      </w:r>
    </w:p>
    <w:p w:rsidR="002B6364" w:rsidRPr="002B6364" w:rsidRDefault="002B6364" w:rsidP="002B6364">
      <w:pPr>
        <w:spacing w:after="0" w:line="240" w:lineRule="auto"/>
        <w:jc w:val="both"/>
        <w:rPr>
          <w:lang w:val="en-GB"/>
        </w:rPr>
      </w:pPr>
    </w:p>
    <w:p w:rsidR="00AE0733" w:rsidRPr="002B6364" w:rsidRDefault="00AE0733" w:rsidP="002B6364">
      <w:pPr>
        <w:pStyle w:val="Odstavecseseznamem"/>
        <w:numPr>
          <w:ilvl w:val="0"/>
          <w:numId w:val="19"/>
        </w:numPr>
        <w:spacing w:before="0" w:beforeAutospacing="0" w:after="0" w:afterAutospacing="0"/>
        <w:contextualSpacing/>
        <w:rPr>
          <w:rFonts w:asciiTheme="minorHAnsi" w:hAnsiTheme="minorHAnsi"/>
          <w:sz w:val="22"/>
          <w:szCs w:val="22"/>
          <w:lang w:val="en-US"/>
        </w:rPr>
      </w:pPr>
      <w:r w:rsidRPr="002B6364">
        <w:rPr>
          <w:rFonts w:asciiTheme="minorHAnsi" w:hAnsiTheme="minorHAnsi"/>
          <w:sz w:val="22"/>
          <w:szCs w:val="22"/>
          <w:lang w:val="en-US"/>
        </w:rPr>
        <w:t xml:space="preserve">Traditional fundamentalist conservative forces: </w:t>
      </w:r>
    </w:p>
    <w:p w:rsidR="00AE0733" w:rsidRPr="002B6364" w:rsidRDefault="00AE0733" w:rsidP="002B6364">
      <w:pPr>
        <w:pStyle w:val="Odstavecseseznamem"/>
        <w:numPr>
          <w:ilvl w:val="0"/>
          <w:numId w:val="19"/>
        </w:numPr>
        <w:spacing w:before="0" w:beforeAutospacing="0" w:after="0" w:afterAutospacing="0"/>
        <w:contextualSpacing/>
        <w:rPr>
          <w:rFonts w:asciiTheme="minorHAnsi" w:hAnsiTheme="minorHAnsi"/>
          <w:sz w:val="22"/>
          <w:szCs w:val="22"/>
          <w:lang w:val="en-US"/>
        </w:rPr>
      </w:pPr>
      <w:r w:rsidRPr="002B6364">
        <w:rPr>
          <w:rFonts w:asciiTheme="minorHAnsi" w:hAnsiTheme="minorHAnsi"/>
          <w:sz w:val="22"/>
          <w:szCs w:val="22"/>
          <w:lang w:val="en-US"/>
        </w:rPr>
        <w:t>Austerity and women in the economy</w:t>
      </w:r>
    </w:p>
    <w:p w:rsidR="00AE0733" w:rsidRPr="002B6364" w:rsidRDefault="00AE0733" w:rsidP="002B6364">
      <w:pPr>
        <w:pStyle w:val="Odstavecseseznamem"/>
        <w:numPr>
          <w:ilvl w:val="0"/>
          <w:numId w:val="19"/>
        </w:numPr>
        <w:spacing w:before="0" w:beforeAutospacing="0" w:after="0" w:afterAutospacing="0"/>
        <w:contextualSpacing/>
        <w:rPr>
          <w:rFonts w:asciiTheme="minorHAnsi" w:hAnsiTheme="minorHAnsi"/>
          <w:sz w:val="22"/>
          <w:szCs w:val="22"/>
          <w:lang w:val="en-US"/>
        </w:rPr>
      </w:pPr>
      <w:r w:rsidRPr="002B6364">
        <w:rPr>
          <w:rFonts w:asciiTheme="minorHAnsi" w:hAnsiTheme="minorHAnsi"/>
          <w:sz w:val="22"/>
          <w:szCs w:val="22"/>
          <w:lang w:val="en-US"/>
        </w:rPr>
        <w:t>Lack of understanding of women’s rights and gender equality</w:t>
      </w:r>
    </w:p>
    <w:p w:rsidR="00AE0733" w:rsidRPr="002B6364" w:rsidRDefault="00AE0733" w:rsidP="002B6364">
      <w:pPr>
        <w:pStyle w:val="Odstavecseseznamem"/>
        <w:numPr>
          <w:ilvl w:val="0"/>
          <w:numId w:val="19"/>
        </w:numPr>
        <w:spacing w:before="0" w:beforeAutospacing="0" w:after="0" w:afterAutospacing="0"/>
        <w:contextualSpacing/>
        <w:rPr>
          <w:rFonts w:asciiTheme="minorHAnsi" w:hAnsiTheme="minorHAnsi"/>
          <w:sz w:val="22"/>
          <w:szCs w:val="22"/>
          <w:lang w:val="en-US"/>
        </w:rPr>
      </w:pPr>
      <w:r w:rsidRPr="002B6364">
        <w:rPr>
          <w:rFonts w:asciiTheme="minorHAnsi" w:hAnsiTheme="minorHAnsi"/>
          <w:sz w:val="22"/>
          <w:szCs w:val="22"/>
          <w:lang w:val="en-US"/>
        </w:rPr>
        <w:t xml:space="preserve">Threats to democracy: </w:t>
      </w:r>
    </w:p>
    <w:p w:rsidR="00AE0733" w:rsidRPr="002B6364" w:rsidRDefault="00AE0733" w:rsidP="002B6364">
      <w:pPr>
        <w:pStyle w:val="Odstavecseseznamem"/>
        <w:numPr>
          <w:ilvl w:val="1"/>
          <w:numId w:val="20"/>
        </w:numPr>
        <w:spacing w:before="0" w:beforeAutospacing="0" w:after="0" w:afterAutospacing="0"/>
        <w:contextualSpacing/>
        <w:rPr>
          <w:rFonts w:asciiTheme="minorHAnsi" w:hAnsiTheme="minorHAnsi"/>
          <w:sz w:val="22"/>
          <w:szCs w:val="22"/>
          <w:lang w:val="en-US"/>
        </w:rPr>
      </w:pPr>
      <w:r w:rsidRPr="002B6364">
        <w:rPr>
          <w:rFonts w:asciiTheme="minorHAnsi" w:hAnsiTheme="minorHAnsi"/>
          <w:sz w:val="22"/>
          <w:szCs w:val="22"/>
          <w:lang w:val="en-US"/>
        </w:rPr>
        <w:t>Lack of understanding of role of CSOs in upholding democratic accountability and constant undermining and rejecting the watchdog role and the purpose of civil society.</w:t>
      </w:r>
    </w:p>
    <w:p w:rsidR="00AE0733" w:rsidRPr="002B6364" w:rsidRDefault="00106744" w:rsidP="002B6364">
      <w:pPr>
        <w:pStyle w:val="Odstavecseseznamem"/>
        <w:numPr>
          <w:ilvl w:val="1"/>
          <w:numId w:val="20"/>
        </w:numPr>
        <w:spacing w:before="0" w:beforeAutospacing="0" w:after="0" w:afterAutospacing="0"/>
        <w:contextualSpacing/>
        <w:rPr>
          <w:rFonts w:asciiTheme="minorHAnsi" w:hAnsiTheme="minorHAnsi"/>
          <w:sz w:val="22"/>
          <w:szCs w:val="22"/>
          <w:lang w:val="en-US"/>
        </w:rPr>
      </w:pPr>
      <w:r w:rsidRPr="002B6364">
        <w:rPr>
          <w:rFonts w:asciiTheme="minorHAnsi" w:hAnsiTheme="minorHAnsi"/>
          <w:sz w:val="22"/>
          <w:szCs w:val="22"/>
          <w:lang w:val="en-US"/>
        </w:rPr>
        <w:t>L</w:t>
      </w:r>
      <w:r w:rsidR="00AE0733" w:rsidRPr="002B6364">
        <w:rPr>
          <w:rFonts w:asciiTheme="minorHAnsi" w:hAnsiTheme="minorHAnsi"/>
          <w:sz w:val="22"/>
          <w:szCs w:val="22"/>
          <w:lang w:val="en-US"/>
        </w:rPr>
        <w:t>ack of alternative sources of funding for CSOs guaranteeing independent and autonomous position in society.</w:t>
      </w:r>
    </w:p>
    <w:p w:rsidR="00AE0733" w:rsidRPr="002B6364" w:rsidRDefault="00AE0733" w:rsidP="002B6364">
      <w:pPr>
        <w:pStyle w:val="Odstavecseseznamem"/>
        <w:numPr>
          <w:ilvl w:val="0"/>
          <w:numId w:val="19"/>
        </w:numPr>
        <w:spacing w:before="0" w:beforeAutospacing="0" w:after="0" w:afterAutospacing="0"/>
        <w:contextualSpacing/>
        <w:rPr>
          <w:rFonts w:asciiTheme="minorHAnsi" w:hAnsiTheme="minorHAnsi"/>
          <w:sz w:val="22"/>
          <w:szCs w:val="22"/>
          <w:lang w:val="en-US"/>
        </w:rPr>
      </w:pPr>
      <w:r w:rsidRPr="002B6364">
        <w:rPr>
          <w:rFonts w:asciiTheme="minorHAnsi" w:hAnsiTheme="minorHAnsi"/>
          <w:sz w:val="22"/>
          <w:szCs w:val="22"/>
          <w:lang w:val="en-US"/>
        </w:rPr>
        <w:t xml:space="preserve">Funding and corruption: </w:t>
      </w:r>
    </w:p>
    <w:p w:rsidR="00AE0733" w:rsidRPr="002B6364" w:rsidRDefault="00AE0733" w:rsidP="002B6364">
      <w:pPr>
        <w:pStyle w:val="Odstavecseseznamem"/>
        <w:numPr>
          <w:ilvl w:val="0"/>
          <w:numId w:val="19"/>
        </w:numPr>
        <w:spacing w:before="0" w:beforeAutospacing="0" w:after="0" w:afterAutospacing="0"/>
        <w:contextualSpacing/>
        <w:jc w:val="both"/>
        <w:rPr>
          <w:rFonts w:asciiTheme="minorHAnsi" w:hAnsiTheme="minorHAnsi"/>
          <w:b/>
          <w:sz w:val="22"/>
          <w:szCs w:val="22"/>
        </w:rPr>
      </w:pPr>
      <w:r w:rsidRPr="002B6364">
        <w:rPr>
          <w:rFonts w:asciiTheme="minorHAnsi" w:hAnsiTheme="minorHAnsi"/>
          <w:sz w:val="22"/>
          <w:szCs w:val="22"/>
          <w:lang w:val="en-US"/>
        </w:rPr>
        <w:t xml:space="preserve">Cooption of right to freedom of speech and human rights as a right to reinforce sexist stereotypes in society. </w:t>
      </w:r>
    </w:p>
    <w:p w:rsidR="002B6364" w:rsidRDefault="002B6364" w:rsidP="002B6364">
      <w:pPr>
        <w:pStyle w:val="Nzev"/>
        <w:pBdr>
          <w:bottom w:val="none" w:sz="0" w:space="0" w:color="auto"/>
        </w:pBdr>
        <w:spacing w:after="0"/>
        <w:rPr>
          <w:rFonts w:asciiTheme="minorHAnsi" w:hAnsiTheme="minorHAnsi"/>
          <w:sz w:val="22"/>
          <w:szCs w:val="22"/>
          <w:lang w:val="en-GB"/>
        </w:rPr>
      </w:pPr>
    </w:p>
    <w:p w:rsidR="00AE0733" w:rsidRPr="002B6364" w:rsidRDefault="00AE0733" w:rsidP="002B6364">
      <w:pPr>
        <w:pStyle w:val="Nzev"/>
        <w:pBdr>
          <w:bottom w:val="none" w:sz="0" w:space="0" w:color="auto"/>
        </w:pBdr>
        <w:spacing w:after="0"/>
        <w:rPr>
          <w:rFonts w:asciiTheme="minorHAnsi" w:hAnsiTheme="minorHAnsi"/>
          <w:sz w:val="22"/>
          <w:szCs w:val="22"/>
          <w:u w:val="single"/>
          <w:lang w:val="en-GB"/>
        </w:rPr>
      </w:pPr>
      <w:r w:rsidRPr="002B6364">
        <w:rPr>
          <w:rFonts w:asciiTheme="minorHAnsi" w:hAnsiTheme="minorHAnsi"/>
          <w:sz w:val="22"/>
          <w:szCs w:val="22"/>
          <w:u w:val="single"/>
          <w:lang w:val="en-GB"/>
        </w:rPr>
        <w:t>Opportunities</w:t>
      </w:r>
    </w:p>
    <w:p w:rsidR="00AE0733" w:rsidRPr="002B6364" w:rsidRDefault="00AE0733" w:rsidP="002B6364">
      <w:pPr>
        <w:pStyle w:val="Odstavecseseznamem"/>
        <w:numPr>
          <w:ilvl w:val="0"/>
          <w:numId w:val="21"/>
        </w:numPr>
        <w:spacing w:after="0"/>
        <w:jc w:val="both"/>
        <w:rPr>
          <w:rFonts w:asciiTheme="minorHAnsi" w:hAnsiTheme="minorHAnsi"/>
          <w:sz w:val="22"/>
          <w:szCs w:val="22"/>
        </w:rPr>
      </w:pPr>
      <w:r w:rsidRPr="002B6364">
        <w:rPr>
          <w:rFonts w:asciiTheme="minorHAnsi" w:hAnsiTheme="minorHAnsi"/>
          <w:sz w:val="22"/>
          <w:szCs w:val="22"/>
        </w:rPr>
        <w:t xml:space="preserve">Good, existing legal framework for equal treatment, antidiscrimination and gender equality in most countries on national/EU and international level (Cedaw, Istanbul Convention, EU framework, + national Laws and strategies). </w:t>
      </w:r>
    </w:p>
    <w:p w:rsidR="00AE0733" w:rsidRPr="002B6364" w:rsidRDefault="00AE0733" w:rsidP="002B6364">
      <w:pPr>
        <w:pStyle w:val="Odstavecseseznamem"/>
        <w:numPr>
          <w:ilvl w:val="0"/>
          <w:numId w:val="21"/>
        </w:numPr>
        <w:spacing w:after="0"/>
        <w:jc w:val="both"/>
        <w:rPr>
          <w:rFonts w:asciiTheme="minorHAnsi" w:hAnsiTheme="minorHAnsi"/>
          <w:sz w:val="22"/>
          <w:szCs w:val="22"/>
        </w:rPr>
      </w:pPr>
      <w:r w:rsidRPr="002B6364">
        <w:rPr>
          <w:rFonts w:asciiTheme="minorHAnsi" w:hAnsiTheme="minorHAnsi"/>
          <w:sz w:val="22"/>
          <w:szCs w:val="22"/>
        </w:rPr>
        <w:t>The new EU Gender Equality Strategy is a very good opportunity. This EU strategy should encompass both the E</w:t>
      </w:r>
      <w:r w:rsidR="002B6364" w:rsidRPr="002B6364">
        <w:rPr>
          <w:rFonts w:asciiTheme="minorHAnsi" w:hAnsiTheme="minorHAnsi"/>
          <w:sz w:val="22"/>
          <w:szCs w:val="22"/>
        </w:rPr>
        <w:t>U</w:t>
      </w:r>
      <w:r w:rsidRPr="002B6364">
        <w:rPr>
          <w:rFonts w:asciiTheme="minorHAnsi" w:hAnsiTheme="minorHAnsi"/>
          <w:sz w:val="22"/>
          <w:szCs w:val="22"/>
        </w:rPr>
        <w:t xml:space="preserve"> and the national level, making it possible to avoid political shifts on national level threaten gender </w:t>
      </w:r>
      <w:r w:rsidR="002B6364" w:rsidRPr="002B6364">
        <w:rPr>
          <w:rFonts w:asciiTheme="minorHAnsi" w:hAnsiTheme="minorHAnsi"/>
          <w:sz w:val="22"/>
          <w:szCs w:val="22"/>
        </w:rPr>
        <w:t>equality</w:t>
      </w:r>
      <w:r w:rsidRPr="002B6364">
        <w:rPr>
          <w:rFonts w:asciiTheme="minorHAnsi" w:hAnsiTheme="minorHAnsi"/>
          <w:sz w:val="22"/>
          <w:szCs w:val="22"/>
        </w:rPr>
        <w:t xml:space="preserve"> achievements (backlash).</w:t>
      </w:r>
    </w:p>
    <w:p w:rsidR="00AE0733" w:rsidRPr="002B6364" w:rsidRDefault="00AE0733" w:rsidP="002B6364">
      <w:pPr>
        <w:pStyle w:val="Odstavecseseznamem"/>
        <w:numPr>
          <w:ilvl w:val="0"/>
          <w:numId w:val="21"/>
        </w:numPr>
        <w:spacing w:after="0"/>
        <w:jc w:val="both"/>
        <w:rPr>
          <w:rFonts w:asciiTheme="minorHAnsi" w:hAnsiTheme="minorHAnsi"/>
          <w:sz w:val="22"/>
          <w:szCs w:val="22"/>
        </w:rPr>
      </w:pPr>
      <w:r w:rsidRPr="002B6364">
        <w:rPr>
          <w:rFonts w:asciiTheme="minorHAnsi" w:hAnsiTheme="minorHAnsi"/>
          <w:sz w:val="22"/>
          <w:szCs w:val="22"/>
        </w:rPr>
        <w:t>The new position of Commissioner of Justice, Consumers’ Rights and Gender Equality, that of Ms J</w:t>
      </w:r>
      <w:r w:rsidR="002B6364" w:rsidRPr="002B6364">
        <w:rPr>
          <w:rFonts w:asciiTheme="minorHAnsi" w:hAnsiTheme="minorHAnsi"/>
          <w:sz w:val="22"/>
          <w:szCs w:val="22"/>
        </w:rPr>
        <w:t>o</w:t>
      </w:r>
      <w:r w:rsidRPr="002B6364">
        <w:rPr>
          <w:rFonts w:asciiTheme="minorHAnsi" w:hAnsiTheme="minorHAnsi"/>
          <w:sz w:val="22"/>
          <w:szCs w:val="22"/>
        </w:rPr>
        <w:t xml:space="preserve">urova, is very welcome by EWL and its membership. </w:t>
      </w:r>
    </w:p>
    <w:p w:rsidR="00AE0733" w:rsidRPr="002B6364" w:rsidRDefault="00AE0733" w:rsidP="002B6364">
      <w:pPr>
        <w:pStyle w:val="Odstavecseseznamem"/>
        <w:numPr>
          <w:ilvl w:val="0"/>
          <w:numId w:val="21"/>
        </w:numPr>
        <w:spacing w:after="0"/>
        <w:jc w:val="both"/>
        <w:rPr>
          <w:rFonts w:asciiTheme="minorHAnsi" w:hAnsiTheme="minorHAnsi"/>
          <w:sz w:val="22"/>
          <w:szCs w:val="22"/>
        </w:rPr>
      </w:pPr>
      <w:r w:rsidRPr="002B6364">
        <w:rPr>
          <w:rFonts w:asciiTheme="minorHAnsi" w:hAnsiTheme="minorHAnsi"/>
          <w:sz w:val="22"/>
          <w:szCs w:val="22"/>
        </w:rPr>
        <w:t xml:space="preserve">Eige’s existence is a positive achievement for the women’s movement in Europe. We appreciate their good cooperation with women ngo-s. We would like to see its mandate </w:t>
      </w:r>
      <w:r w:rsidR="002B6364" w:rsidRPr="002B6364">
        <w:rPr>
          <w:rFonts w:asciiTheme="minorHAnsi" w:hAnsiTheme="minorHAnsi"/>
          <w:sz w:val="22"/>
          <w:szCs w:val="22"/>
        </w:rPr>
        <w:t>strengthened</w:t>
      </w:r>
      <w:r w:rsidRPr="002B6364">
        <w:rPr>
          <w:rFonts w:asciiTheme="minorHAnsi" w:hAnsiTheme="minorHAnsi"/>
          <w:sz w:val="22"/>
          <w:szCs w:val="22"/>
        </w:rPr>
        <w:t>, including by taking over the work done by the FRA on violence against women and to expand and develop further work on the issue to feed into policy making.</w:t>
      </w:r>
    </w:p>
    <w:p w:rsidR="00AE0733" w:rsidRPr="002B6364" w:rsidRDefault="00AE0733" w:rsidP="002B6364">
      <w:pPr>
        <w:pStyle w:val="Odstavecseseznamem"/>
        <w:numPr>
          <w:ilvl w:val="0"/>
          <w:numId w:val="21"/>
        </w:numPr>
        <w:spacing w:after="0"/>
        <w:jc w:val="both"/>
        <w:rPr>
          <w:rFonts w:asciiTheme="minorHAnsi" w:hAnsiTheme="minorHAnsi"/>
          <w:sz w:val="22"/>
          <w:szCs w:val="22"/>
        </w:rPr>
      </w:pPr>
      <w:r w:rsidRPr="002B6364">
        <w:rPr>
          <w:rFonts w:asciiTheme="minorHAnsi" w:hAnsiTheme="minorHAnsi"/>
          <w:sz w:val="22"/>
          <w:szCs w:val="22"/>
        </w:rPr>
        <w:t>Professional capacity exists now in Europe of feminist academics, gender experts and women ngo-s and activists to carry out independent monitoring of the implementation of already existing gender equality legislation and policies.</w:t>
      </w:r>
    </w:p>
    <w:p w:rsidR="00AE0733" w:rsidRPr="002B6364" w:rsidRDefault="00AE0733" w:rsidP="002B6364">
      <w:pPr>
        <w:pStyle w:val="Odstavecseseznamem"/>
        <w:numPr>
          <w:ilvl w:val="0"/>
          <w:numId w:val="21"/>
        </w:numPr>
        <w:spacing w:after="0"/>
        <w:jc w:val="both"/>
        <w:rPr>
          <w:rFonts w:asciiTheme="minorHAnsi" w:hAnsiTheme="minorHAnsi"/>
          <w:sz w:val="22"/>
          <w:szCs w:val="22"/>
        </w:rPr>
      </w:pPr>
      <w:r w:rsidRPr="002B6364">
        <w:rPr>
          <w:rFonts w:asciiTheme="minorHAnsi" w:hAnsiTheme="minorHAnsi"/>
          <w:sz w:val="22"/>
          <w:szCs w:val="22"/>
        </w:rPr>
        <w:t xml:space="preserve">There is </w:t>
      </w:r>
      <w:r w:rsidR="002B6364" w:rsidRPr="002B6364">
        <w:rPr>
          <w:rFonts w:asciiTheme="minorHAnsi" w:hAnsiTheme="minorHAnsi"/>
          <w:sz w:val="22"/>
          <w:szCs w:val="22"/>
        </w:rPr>
        <w:t>a</w:t>
      </w:r>
      <w:r w:rsidRPr="002B6364">
        <w:rPr>
          <w:rFonts w:asciiTheme="minorHAnsi" w:hAnsiTheme="minorHAnsi"/>
          <w:sz w:val="22"/>
          <w:szCs w:val="22"/>
        </w:rPr>
        <w:t xml:space="preserve"> strong existing women’s movement in this region, members of the EWL. On this basis there is scope for building a common vision and program and unite forces to strengthen the women’s movement on specific issues.</w:t>
      </w:r>
    </w:p>
    <w:p w:rsidR="00AE0733" w:rsidRPr="002B6364" w:rsidRDefault="00AE0733" w:rsidP="002B6364">
      <w:pPr>
        <w:pStyle w:val="Odstavecseseznamem"/>
        <w:numPr>
          <w:ilvl w:val="0"/>
          <w:numId w:val="21"/>
        </w:numPr>
        <w:spacing w:after="0"/>
        <w:jc w:val="both"/>
        <w:rPr>
          <w:rFonts w:asciiTheme="minorHAnsi" w:hAnsiTheme="minorHAnsi"/>
          <w:sz w:val="22"/>
          <w:szCs w:val="22"/>
        </w:rPr>
      </w:pPr>
      <w:r w:rsidRPr="002B6364">
        <w:rPr>
          <w:rFonts w:asciiTheme="minorHAnsi" w:hAnsiTheme="minorHAnsi"/>
          <w:sz w:val="22"/>
          <w:szCs w:val="22"/>
        </w:rPr>
        <w:t>A new generation of young activists appeared in the women’s movement, highly educated, also in gender studies, representing fresh thoughts and skil</w:t>
      </w:r>
      <w:r w:rsidR="002B6364" w:rsidRPr="002B6364">
        <w:rPr>
          <w:rFonts w:asciiTheme="minorHAnsi" w:hAnsiTheme="minorHAnsi"/>
          <w:sz w:val="22"/>
          <w:szCs w:val="22"/>
        </w:rPr>
        <w:t xml:space="preserve">ls. It is possible to pass the </w:t>
      </w:r>
      <w:r w:rsidRPr="002B6364">
        <w:rPr>
          <w:rFonts w:asciiTheme="minorHAnsi" w:hAnsiTheme="minorHAnsi"/>
          <w:sz w:val="22"/>
          <w:szCs w:val="22"/>
        </w:rPr>
        <w:t>torch on from one generation to the other.</w:t>
      </w:r>
    </w:p>
    <w:p w:rsidR="00AE0733" w:rsidRPr="002B6364" w:rsidRDefault="00AE0733" w:rsidP="002B6364">
      <w:pPr>
        <w:pStyle w:val="Odstavecseseznamem"/>
        <w:numPr>
          <w:ilvl w:val="0"/>
          <w:numId w:val="21"/>
        </w:numPr>
        <w:spacing w:after="0"/>
        <w:jc w:val="both"/>
      </w:pPr>
      <w:r w:rsidRPr="002B6364">
        <w:rPr>
          <w:rFonts w:asciiTheme="minorHAnsi" w:hAnsiTheme="minorHAnsi"/>
          <w:sz w:val="22"/>
          <w:szCs w:val="22"/>
        </w:rPr>
        <w:t xml:space="preserve">Although with limitations due to the specific financial and HR set-up of women </w:t>
      </w:r>
      <w:r w:rsidR="00422B10">
        <w:rPr>
          <w:rFonts w:asciiTheme="minorHAnsi" w:hAnsiTheme="minorHAnsi"/>
          <w:sz w:val="22"/>
          <w:szCs w:val="22"/>
        </w:rPr>
        <w:t>NGOs</w:t>
      </w:r>
      <w:r w:rsidRPr="002B6364">
        <w:rPr>
          <w:rFonts w:asciiTheme="minorHAnsi" w:hAnsiTheme="minorHAnsi"/>
          <w:sz w:val="22"/>
          <w:szCs w:val="22"/>
        </w:rPr>
        <w:t xml:space="preserve"> in the region, there are funds available (ESF, Norway Grants, Norwegian Civic Fund, direct funding from EU, etc.) It would be great to achieve an amendment in the partnership agreements to have separate funding allocated to gender equality</w:t>
      </w:r>
      <w:r w:rsidRPr="002B6364">
        <w:t xml:space="preserve">. </w:t>
      </w:r>
    </w:p>
    <w:p w:rsidR="002B6364" w:rsidRDefault="002B6364" w:rsidP="002B6364">
      <w:pPr>
        <w:spacing w:after="0" w:line="240" w:lineRule="auto"/>
        <w:jc w:val="both"/>
        <w:rPr>
          <w:lang w:val="en-GB"/>
        </w:rPr>
      </w:pPr>
    </w:p>
    <w:p w:rsidR="002160D7" w:rsidRDefault="00DC6C1F" w:rsidP="002B6364">
      <w:pPr>
        <w:spacing w:after="0" w:line="240" w:lineRule="auto"/>
        <w:jc w:val="both"/>
        <w:rPr>
          <w:lang w:val="en-GB"/>
        </w:rPr>
      </w:pPr>
      <w:r w:rsidRPr="002B6364">
        <w:rPr>
          <w:lang w:val="en-GB"/>
        </w:rPr>
        <w:t>Finally</w:t>
      </w:r>
      <w:r w:rsidR="00F045D0" w:rsidRPr="002B6364">
        <w:rPr>
          <w:lang w:val="en-GB"/>
        </w:rPr>
        <w:t>, building on the emerging analysis</w:t>
      </w:r>
      <w:r w:rsidRPr="002B6364">
        <w:rPr>
          <w:lang w:val="en-GB"/>
        </w:rPr>
        <w:t xml:space="preserve"> we did some dreaming about a future vision for the women’</w:t>
      </w:r>
      <w:r w:rsidR="00F045D0" w:rsidRPr="002B6364">
        <w:rPr>
          <w:lang w:val="en-GB"/>
        </w:rPr>
        <w:t>s movement in the region. We then defined some key programmatic strategies that could be used to address the challenges id</w:t>
      </w:r>
      <w:r w:rsidR="00F045D0" w:rsidRPr="002160D7">
        <w:rPr>
          <w:lang w:val="en-GB"/>
        </w:rPr>
        <w:t>entified and achieve our vision.</w:t>
      </w:r>
      <w:r w:rsidR="002B6364">
        <w:rPr>
          <w:lang w:val="en-GB"/>
        </w:rPr>
        <w:t xml:space="preserve"> The Task Force will continue to work throughout 2015 to develop the analysis and the response from the Women’s Movement.  </w:t>
      </w:r>
    </w:p>
    <w:p w:rsidR="002B6364" w:rsidRPr="002160D7" w:rsidRDefault="002B6364" w:rsidP="002B6364">
      <w:pPr>
        <w:spacing w:after="0" w:line="240" w:lineRule="auto"/>
        <w:jc w:val="both"/>
        <w:rPr>
          <w:lang w:val="en-GB"/>
        </w:rPr>
      </w:pPr>
    </w:p>
    <w:sectPr w:rsidR="002B6364" w:rsidRPr="002160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D7" w:rsidRDefault="00D308D7" w:rsidP="00106744">
      <w:pPr>
        <w:spacing w:after="0" w:line="240" w:lineRule="auto"/>
      </w:pPr>
      <w:r>
        <w:separator/>
      </w:r>
    </w:p>
  </w:endnote>
  <w:endnote w:type="continuationSeparator" w:id="0">
    <w:p w:rsidR="00D308D7" w:rsidRDefault="00D308D7" w:rsidP="0010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106744">
      <w:tc>
        <w:tcPr>
          <w:tcW w:w="918" w:type="dxa"/>
        </w:tcPr>
        <w:p w:rsidR="00106744" w:rsidRDefault="00106744">
          <w:pPr>
            <w:pStyle w:val="Zpat"/>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02B6A" w:rsidRPr="00502B6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06744" w:rsidRDefault="00106744">
          <w:pPr>
            <w:pStyle w:val="Zpat"/>
          </w:pPr>
        </w:p>
      </w:tc>
    </w:tr>
  </w:tbl>
  <w:p w:rsidR="00106744" w:rsidRDefault="001067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D7" w:rsidRDefault="00D308D7" w:rsidP="00106744">
      <w:pPr>
        <w:spacing w:after="0" w:line="240" w:lineRule="auto"/>
      </w:pPr>
      <w:r>
        <w:separator/>
      </w:r>
    </w:p>
  </w:footnote>
  <w:footnote w:type="continuationSeparator" w:id="0">
    <w:p w:rsidR="00D308D7" w:rsidRDefault="00D308D7" w:rsidP="00106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46"/>
      <w:gridCol w:w="256"/>
    </w:tblGrid>
    <w:tr w:rsidR="00106744" w:rsidRPr="00422B10" w:rsidTr="00106744">
      <w:trPr>
        <w:trHeight w:val="288"/>
      </w:trPr>
      <w:sdt>
        <w:sdtPr>
          <w:rPr>
            <w:rFonts w:ascii="Calibri" w:hAnsi="Calibri"/>
            <w:sz w:val="18"/>
            <w:szCs w:val="32"/>
            <w:lang w:val="en-GB"/>
          </w:rPr>
          <w:alias w:val="Title"/>
          <w:id w:val="77761602"/>
          <w:placeholder>
            <w:docPart w:val="69BED3C52E86483B9B7795E0E8D63186"/>
          </w:placeholder>
          <w:dataBinding w:prefixMappings="xmlns:ns0='http://schemas.openxmlformats.org/package/2006/metadata/core-properties' xmlns:ns1='http://purl.org/dc/elements/1.1/'" w:xpath="/ns0:coreProperties[1]/ns1:title[1]" w:storeItemID="{6C3C8BC8-F283-45AE-878A-BAB7291924A1}"/>
          <w:text/>
        </w:sdtPr>
        <w:sdtEndPr/>
        <w:sdtContent>
          <w:tc>
            <w:tcPr>
              <w:tcW w:w="9046" w:type="dxa"/>
            </w:tcPr>
            <w:p w:rsidR="00106744" w:rsidRPr="00106744" w:rsidRDefault="002B6364" w:rsidP="002B6364">
              <w:pPr>
                <w:pStyle w:val="Zhlav"/>
                <w:jc w:val="right"/>
                <w:rPr>
                  <w:rFonts w:asciiTheme="majorHAnsi" w:eastAsiaTheme="majorEastAsia" w:hAnsiTheme="majorHAnsi" w:cstheme="majorBidi"/>
                  <w:sz w:val="18"/>
                  <w:szCs w:val="36"/>
                  <w:lang w:val="en-GB"/>
                </w:rPr>
              </w:pPr>
              <w:r>
                <w:rPr>
                  <w:rFonts w:ascii="Calibri" w:hAnsi="Calibri"/>
                  <w:sz w:val="18"/>
                  <w:szCs w:val="32"/>
                  <w:lang w:val="en-GB"/>
                </w:rPr>
                <w:t>Communique</w:t>
              </w:r>
              <w:r w:rsidR="00106744" w:rsidRPr="00106744">
                <w:rPr>
                  <w:rFonts w:ascii="Calibri" w:hAnsi="Calibri"/>
                  <w:sz w:val="18"/>
                  <w:szCs w:val="32"/>
                  <w:lang w:val="en-GB"/>
                </w:rPr>
                <w:t xml:space="preserve"> EWL’s Lobby Central, Eastern And South Eastern Europe Task Force, January 2015</w:t>
              </w:r>
            </w:p>
          </w:tc>
        </w:sdtContent>
      </w:sdt>
      <w:tc>
        <w:tcPr>
          <w:tcW w:w="256" w:type="dxa"/>
        </w:tcPr>
        <w:p w:rsidR="00106744" w:rsidRPr="00106744" w:rsidRDefault="00106744" w:rsidP="00106744">
          <w:pPr>
            <w:pStyle w:val="Zhlav"/>
            <w:rPr>
              <w:rFonts w:asciiTheme="majorHAnsi" w:eastAsiaTheme="majorEastAsia" w:hAnsiTheme="majorHAnsi" w:cstheme="majorBidi"/>
              <w:b/>
              <w:bCs/>
              <w:color w:val="4F81BD" w:themeColor="accent1"/>
              <w:sz w:val="36"/>
              <w:szCs w:val="36"/>
              <w:lang w:val="en-GB"/>
              <w14:numForm w14:val="oldStyle"/>
            </w:rPr>
          </w:pPr>
        </w:p>
      </w:tc>
    </w:tr>
  </w:tbl>
  <w:p w:rsidR="00106744" w:rsidRPr="00106744" w:rsidRDefault="00106744">
    <w:pPr>
      <w:pStyle w:val="Zhlav"/>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90BEB"/>
    <w:multiLevelType w:val="hybridMultilevel"/>
    <w:tmpl w:val="D9A047D4"/>
    <w:lvl w:ilvl="0" w:tplc="080C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AD4713"/>
    <w:multiLevelType w:val="hybridMultilevel"/>
    <w:tmpl w:val="F41E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A442D"/>
    <w:multiLevelType w:val="hybridMultilevel"/>
    <w:tmpl w:val="960A7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91489"/>
    <w:multiLevelType w:val="hybridMultilevel"/>
    <w:tmpl w:val="0CF8D64E"/>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1EDF7CF7"/>
    <w:multiLevelType w:val="hybridMultilevel"/>
    <w:tmpl w:val="DD64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FB5B94"/>
    <w:multiLevelType w:val="hybridMultilevel"/>
    <w:tmpl w:val="1B7CA8D8"/>
    <w:lvl w:ilvl="0" w:tplc="08090001">
      <w:start w:val="1"/>
      <w:numFmt w:val="bullet"/>
      <w:lvlText w:val=""/>
      <w:lvlJc w:val="left"/>
      <w:pPr>
        <w:ind w:left="363" w:hanging="360"/>
      </w:pPr>
      <w:rPr>
        <w:rFonts w:ascii="Symbol" w:hAnsi="Symbol"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
    <w:nsid w:val="29EB67DD"/>
    <w:multiLevelType w:val="hybridMultilevel"/>
    <w:tmpl w:val="770EE62C"/>
    <w:lvl w:ilvl="0" w:tplc="DD50F1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D1BB4"/>
    <w:multiLevelType w:val="hybridMultilevel"/>
    <w:tmpl w:val="4544C6D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A1C1092"/>
    <w:multiLevelType w:val="hybridMultilevel"/>
    <w:tmpl w:val="C8D8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CE2964"/>
    <w:multiLevelType w:val="hybridMultilevel"/>
    <w:tmpl w:val="48A8C372"/>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445408F8"/>
    <w:multiLevelType w:val="hybridMultilevel"/>
    <w:tmpl w:val="6E54165A"/>
    <w:lvl w:ilvl="0" w:tplc="080C000F">
      <w:start w:val="1"/>
      <w:numFmt w:val="decimal"/>
      <w:lvlText w:val="%1."/>
      <w:lvlJc w:val="left"/>
      <w:pPr>
        <w:ind w:left="720" w:hanging="360"/>
      </w:pPr>
    </w:lvl>
    <w:lvl w:ilvl="1" w:tplc="080C000D">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167E91"/>
    <w:multiLevelType w:val="hybridMultilevel"/>
    <w:tmpl w:val="A29CBD42"/>
    <w:lvl w:ilvl="0" w:tplc="08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66543C"/>
    <w:multiLevelType w:val="hybridMultilevel"/>
    <w:tmpl w:val="D8B0603E"/>
    <w:lvl w:ilvl="0" w:tplc="3E301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30FB3"/>
    <w:multiLevelType w:val="hybridMultilevel"/>
    <w:tmpl w:val="0EF09034"/>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594A4109"/>
    <w:multiLevelType w:val="hybridMultilevel"/>
    <w:tmpl w:val="1FE4EFAC"/>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5A4015FE"/>
    <w:multiLevelType w:val="hybridMultilevel"/>
    <w:tmpl w:val="EC42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F01216"/>
    <w:multiLevelType w:val="hybridMultilevel"/>
    <w:tmpl w:val="170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BE3239"/>
    <w:multiLevelType w:val="multilevel"/>
    <w:tmpl w:val="77A2DF96"/>
    <w:lvl w:ilvl="0">
      <w:start w:val="1"/>
      <w:numFmt w:val="decimal"/>
      <w:lvlText w:val="%1."/>
      <w:lvlJc w:val="left"/>
      <w:pPr>
        <w:ind w:left="720" w:hanging="360"/>
      </w:pPr>
      <w:rPr>
        <w:rFonts w:hint="default"/>
        <w:b/>
        <w:sz w:val="28"/>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7A6A1A88"/>
    <w:multiLevelType w:val="multilevel"/>
    <w:tmpl w:val="31481EB8"/>
    <w:lvl w:ilvl="0">
      <w:start w:val="19"/>
      <w:numFmt w:val="decimal"/>
      <w:lvlText w:val="%1"/>
      <w:lvlJc w:val="left"/>
      <w:pPr>
        <w:ind w:left="750" w:hanging="750"/>
      </w:pPr>
      <w:rPr>
        <w:rFonts w:hint="default"/>
      </w:rPr>
    </w:lvl>
    <w:lvl w:ilvl="1">
      <w:start w:val="2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E972AB"/>
    <w:multiLevelType w:val="hybridMultilevel"/>
    <w:tmpl w:val="83EC8B8A"/>
    <w:lvl w:ilvl="0" w:tplc="409AB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3"/>
  </w:num>
  <w:num w:numId="4">
    <w:abstractNumId w:val="14"/>
  </w:num>
  <w:num w:numId="5">
    <w:abstractNumId w:val="5"/>
  </w:num>
  <w:num w:numId="6">
    <w:abstractNumId w:val="7"/>
  </w:num>
  <w:num w:numId="7">
    <w:abstractNumId w:val="9"/>
  </w:num>
  <w:num w:numId="8">
    <w:abstractNumId w:val="2"/>
  </w:num>
  <w:num w:numId="9">
    <w:abstractNumId w:val="12"/>
  </w:num>
  <w:num w:numId="10">
    <w:abstractNumId w:val="17"/>
  </w:num>
  <w:num w:numId="11">
    <w:abstractNumId w:val="1"/>
  </w:num>
  <w:num w:numId="12">
    <w:abstractNumId w:val="8"/>
  </w:num>
  <w:num w:numId="13">
    <w:abstractNumId w:val="4"/>
  </w:num>
  <w:num w:numId="14">
    <w:abstractNumId w:val="15"/>
  </w:num>
  <w:num w:numId="15">
    <w:abstractNumId w:val="16"/>
  </w:num>
  <w:num w:numId="16">
    <w:abstractNumId w:val="19"/>
  </w:num>
  <w:num w:numId="17">
    <w:abstractNumId w:val="18"/>
  </w:num>
  <w:num w:numId="18">
    <w:abstractNumId w:val="6"/>
  </w:num>
  <w:num w:numId="19">
    <w:abstractNumId w:val="0"/>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1F"/>
    <w:rsid w:val="000C6AAF"/>
    <w:rsid w:val="00106744"/>
    <w:rsid w:val="002160D7"/>
    <w:rsid w:val="002B6364"/>
    <w:rsid w:val="003646FD"/>
    <w:rsid w:val="00422B10"/>
    <w:rsid w:val="0042661E"/>
    <w:rsid w:val="0045176A"/>
    <w:rsid w:val="004B7E35"/>
    <w:rsid w:val="004D79FE"/>
    <w:rsid w:val="00502B6A"/>
    <w:rsid w:val="00625152"/>
    <w:rsid w:val="006624A1"/>
    <w:rsid w:val="00A04D68"/>
    <w:rsid w:val="00AE0733"/>
    <w:rsid w:val="00AE093C"/>
    <w:rsid w:val="00B73B0D"/>
    <w:rsid w:val="00B83D32"/>
    <w:rsid w:val="00B91F10"/>
    <w:rsid w:val="00D308D7"/>
    <w:rsid w:val="00DC1D13"/>
    <w:rsid w:val="00DC6C1F"/>
    <w:rsid w:val="00F045D0"/>
    <w:rsid w:val="00FA6AE4"/>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B307C-1CC6-4A93-A5BE-8E3FC417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F045D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C1F"/>
    <w:pPr>
      <w:spacing w:before="100" w:beforeAutospacing="1" w:after="100" w:afterAutospacing="1" w:line="240" w:lineRule="auto"/>
    </w:pPr>
    <w:rPr>
      <w:rFonts w:ascii="Times New Roman" w:eastAsia="Calibri" w:hAnsi="Times New Roman" w:cs="Times New Roman"/>
      <w:sz w:val="24"/>
      <w:szCs w:val="24"/>
      <w:lang w:val="en-GB" w:eastAsia="en-GB"/>
    </w:rPr>
  </w:style>
  <w:style w:type="character" w:customStyle="1" w:styleId="Nadpis3Char">
    <w:name w:val="Nadpis 3 Char"/>
    <w:basedOn w:val="Standardnpsmoodstavce"/>
    <w:link w:val="Nadpis3"/>
    <w:uiPriority w:val="9"/>
    <w:rsid w:val="00F045D0"/>
    <w:rPr>
      <w:rFonts w:ascii="Times New Roman" w:eastAsia="Times New Roman" w:hAnsi="Times New Roman" w:cs="Times New Roman"/>
      <w:b/>
      <w:bCs/>
      <w:sz w:val="27"/>
      <w:szCs w:val="27"/>
      <w:lang w:val="en-GB" w:eastAsia="en-GB"/>
    </w:rPr>
  </w:style>
  <w:style w:type="paragraph" w:styleId="Zkladntext3">
    <w:name w:val="Body Text 3"/>
    <w:basedOn w:val="Normln"/>
    <w:link w:val="Zkladntext3Char"/>
    <w:rsid w:val="00F045D0"/>
    <w:pPr>
      <w:spacing w:after="0" w:line="240" w:lineRule="auto"/>
      <w:jc w:val="both"/>
    </w:pPr>
    <w:rPr>
      <w:rFonts w:ascii="Arial" w:eastAsia="Times New Roman" w:hAnsi="Arial" w:cs="Arial"/>
      <w:sz w:val="24"/>
      <w:szCs w:val="20"/>
      <w:lang w:val="en-GB"/>
    </w:rPr>
  </w:style>
  <w:style w:type="character" w:customStyle="1" w:styleId="Zkladntext3Char">
    <w:name w:val="Základní text 3 Char"/>
    <w:basedOn w:val="Standardnpsmoodstavce"/>
    <w:link w:val="Zkladntext3"/>
    <w:rsid w:val="00F045D0"/>
    <w:rPr>
      <w:rFonts w:ascii="Arial" w:eastAsia="Times New Roman" w:hAnsi="Arial" w:cs="Arial"/>
      <w:sz w:val="24"/>
      <w:szCs w:val="20"/>
      <w:lang w:val="en-GB"/>
    </w:rPr>
  </w:style>
  <w:style w:type="paragraph" w:styleId="Normlnweb">
    <w:name w:val="Normal (Web)"/>
    <w:basedOn w:val="Normln"/>
    <w:uiPriority w:val="99"/>
    <w:unhideWhenUsed/>
    <w:rsid w:val="00F045D0"/>
    <w:pPr>
      <w:spacing w:before="100" w:beforeAutospacing="1" w:after="100" w:afterAutospacing="1" w:line="240" w:lineRule="auto"/>
    </w:pPr>
    <w:rPr>
      <w:rFonts w:ascii="Times New Roman" w:eastAsia="Calibri" w:hAnsi="Times New Roman" w:cs="Times New Roman"/>
      <w:sz w:val="24"/>
      <w:szCs w:val="24"/>
      <w:lang w:eastAsia="fr-BE"/>
    </w:rPr>
  </w:style>
  <w:style w:type="paragraph" w:styleId="Zhlav">
    <w:name w:val="header"/>
    <w:basedOn w:val="Normln"/>
    <w:link w:val="ZhlavChar"/>
    <w:uiPriority w:val="99"/>
    <w:unhideWhenUsed/>
    <w:rsid w:val="001067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6744"/>
  </w:style>
  <w:style w:type="paragraph" w:styleId="Zpat">
    <w:name w:val="footer"/>
    <w:basedOn w:val="Normln"/>
    <w:link w:val="ZpatChar"/>
    <w:uiPriority w:val="99"/>
    <w:unhideWhenUsed/>
    <w:rsid w:val="00106744"/>
    <w:pPr>
      <w:tabs>
        <w:tab w:val="center" w:pos="4536"/>
        <w:tab w:val="right" w:pos="9072"/>
      </w:tabs>
      <w:spacing w:after="0" w:line="240" w:lineRule="auto"/>
    </w:pPr>
  </w:style>
  <w:style w:type="character" w:customStyle="1" w:styleId="ZpatChar">
    <w:name w:val="Zápatí Char"/>
    <w:basedOn w:val="Standardnpsmoodstavce"/>
    <w:link w:val="Zpat"/>
    <w:uiPriority w:val="99"/>
    <w:rsid w:val="00106744"/>
  </w:style>
  <w:style w:type="paragraph" w:styleId="Textbubliny">
    <w:name w:val="Balloon Text"/>
    <w:basedOn w:val="Normln"/>
    <w:link w:val="TextbublinyChar"/>
    <w:uiPriority w:val="99"/>
    <w:semiHidden/>
    <w:unhideWhenUsed/>
    <w:rsid w:val="001067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6744"/>
    <w:rPr>
      <w:rFonts w:ascii="Tahoma" w:hAnsi="Tahoma" w:cs="Tahoma"/>
      <w:sz w:val="16"/>
      <w:szCs w:val="16"/>
    </w:rPr>
  </w:style>
  <w:style w:type="paragraph" w:styleId="Nzev">
    <w:name w:val="Title"/>
    <w:basedOn w:val="Normln"/>
    <w:next w:val="Normln"/>
    <w:link w:val="NzevChar"/>
    <w:uiPriority w:val="10"/>
    <w:qFormat/>
    <w:rsid w:val="003646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646F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535923">
      <w:bodyDiv w:val="1"/>
      <w:marLeft w:val="0"/>
      <w:marRight w:val="0"/>
      <w:marTop w:val="0"/>
      <w:marBottom w:val="0"/>
      <w:divBdr>
        <w:top w:val="none" w:sz="0" w:space="0" w:color="auto"/>
        <w:left w:val="none" w:sz="0" w:space="0" w:color="auto"/>
        <w:bottom w:val="none" w:sz="0" w:space="0" w:color="auto"/>
        <w:right w:val="none" w:sz="0" w:space="0" w:color="auto"/>
      </w:divBdr>
    </w:div>
    <w:div w:id="1754425317">
      <w:bodyDiv w:val="1"/>
      <w:marLeft w:val="0"/>
      <w:marRight w:val="0"/>
      <w:marTop w:val="0"/>
      <w:marBottom w:val="0"/>
      <w:divBdr>
        <w:top w:val="none" w:sz="0" w:space="0" w:color="auto"/>
        <w:left w:val="none" w:sz="0" w:space="0" w:color="auto"/>
        <w:bottom w:val="none" w:sz="0" w:space="0" w:color="auto"/>
        <w:right w:val="none" w:sz="0" w:space="0" w:color="auto"/>
      </w:divBdr>
      <w:divsChild>
        <w:div w:id="520313631">
          <w:marLeft w:val="0"/>
          <w:marRight w:val="0"/>
          <w:marTop w:val="0"/>
          <w:marBottom w:val="0"/>
          <w:divBdr>
            <w:top w:val="none" w:sz="0" w:space="0" w:color="auto"/>
            <w:left w:val="none" w:sz="0" w:space="0" w:color="auto"/>
            <w:bottom w:val="none" w:sz="0" w:space="0" w:color="auto"/>
            <w:right w:val="none" w:sz="0" w:space="0" w:color="auto"/>
          </w:divBdr>
          <w:divsChild>
            <w:div w:id="375010572">
              <w:marLeft w:val="0"/>
              <w:marRight w:val="0"/>
              <w:marTop w:val="0"/>
              <w:marBottom w:val="0"/>
              <w:divBdr>
                <w:top w:val="none" w:sz="0" w:space="0" w:color="auto"/>
                <w:left w:val="none" w:sz="0" w:space="0" w:color="auto"/>
                <w:bottom w:val="none" w:sz="0" w:space="0" w:color="auto"/>
                <w:right w:val="none" w:sz="0" w:space="0" w:color="auto"/>
              </w:divBdr>
              <w:divsChild>
                <w:div w:id="1305617664">
                  <w:marLeft w:val="0"/>
                  <w:marRight w:val="0"/>
                  <w:marTop w:val="0"/>
                  <w:marBottom w:val="0"/>
                  <w:divBdr>
                    <w:top w:val="none" w:sz="0" w:space="0" w:color="auto"/>
                    <w:left w:val="none" w:sz="0" w:space="0" w:color="auto"/>
                    <w:bottom w:val="none" w:sz="0" w:space="0" w:color="auto"/>
                    <w:right w:val="none" w:sz="0" w:space="0" w:color="auto"/>
                  </w:divBdr>
                  <w:divsChild>
                    <w:div w:id="5837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77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BED3C52E86483B9B7795E0E8D63186"/>
        <w:category>
          <w:name w:val="General"/>
          <w:gallery w:val="placeholder"/>
        </w:category>
        <w:types>
          <w:type w:val="bbPlcHdr"/>
        </w:types>
        <w:behaviors>
          <w:behavior w:val="content"/>
        </w:behaviors>
        <w:guid w:val="{4E621086-A9F4-421E-A166-937E69332A55}"/>
      </w:docPartPr>
      <w:docPartBody>
        <w:p w:rsidR="00E43661" w:rsidRDefault="00E31A49" w:rsidP="00E31A49">
          <w:pPr>
            <w:pStyle w:val="69BED3C52E86483B9B7795E0E8D63186"/>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49"/>
    <w:rsid w:val="00247942"/>
    <w:rsid w:val="00D1682F"/>
    <w:rsid w:val="00E14A0D"/>
    <w:rsid w:val="00E31A49"/>
    <w:rsid w:val="00E4366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9BED3C52E86483B9B7795E0E8D63186">
    <w:name w:val="69BED3C52E86483B9B7795E0E8D63186"/>
    <w:rsid w:val="00E31A49"/>
  </w:style>
  <w:style w:type="paragraph" w:customStyle="1" w:styleId="7261B34C724F41018E1A12FD5397BDF6">
    <w:name w:val="7261B34C724F41018E1A12FD5397BDF6"/>
    <w:rsid w:val="00E3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5133</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Communique EWL’s Lobby Central, Eastern And South Eastern Europe Task Force, January 2015</vt:lpstr>
      <vt:lpstr>Communique EWL’s Lobby Central, Eastern And South Eastern Europe Task Force, January 2015</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EWL’s Lobby Central, Eastern And South Eastern Europe Task Force, January 2015</dc:title>
  <dc:creator>Joanna Maycock</dc:creator>
  <cp:lastModifiedBy>Hana Stelzerova</cp:lastModifiedBy>
  <cp:revision>2</cp:revision>
  <dcterms:created xsi:type="dcterms:W3CDTF">2015-02-06T12:56:00Z</dcterms:created>
  <dcterms:modified xsi:type="dcterms:W3CDTF">2015-02-06T12:56:00Z</dcterms:modified>
</cp:coreProperties>
</file>