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Jak Úmluva proti násilí pomůže zranitelným skupinám v české společnosti, o tom dnes diskutovali odborníci a odbornice v Senátu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 října 2023, Praha. Senátní Výbor pro sociální politiku dnes na půdě horní parlamentní komory uspořádal kulatý stůl na téma „Jak zlepšit systém pomoci obětem násilí“. Cílem byla diskuse o tom, jak Úmluva Rady Evropy o prevenci a potírání násilí vůči ženám a domácího násilí přispěje k lepší pomoci zranitelným skupinám v české společnosti, jako jsou ženy, děti a senioři. Akce se konala pod záštitou 1. místopředsedy Senátu Jiřího Drahoše a s podporou předsedy Miloše Vystrčila.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Předsedkyně Výboru pro sociální politiku Miluše Horská k dnešnímu setkání uvedla: „Setkání umožnilo rozvést debatu o domácím násilí s odborníky různých oblastí, kteří znají jak český, tak mezinárodní kontext Úmluvy proti násilí, pracují s oběťmi domácího násilí, ale také osobami, které se staly oběťmi sexuálního zneužívání. Veřejnost podle dostupných průzkumů často netuší, o jak závažné téma se jedná.“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„Naším cílem nesmí být pouze řešení následků násilí na ženách, ale také vytvoření podmínek, aby se mu předcházelo a aby se dělo v co nejmenší možné míře. Věřím, že ratifikace Úmluvy proti násilí takové podmínky pomůže vytvořit,“ řekl v úvodním slovu 1. místopředseda horní parlamentní komory Jiří Drahoš.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Předseda Senátu Miloš Vystrčil ve svém projevu připomněl odkaz prvorepublikové senátorky Národního shromáždění Československa Františky Plamínkové, která se mimo jiné zasloužila o to, aby ženy mohly volit: „Není to tak dávno. Dneska jsme v situaci, kdy se bavíme o dalších věcech, které ženy nemohou nebo mohou, ale s daleko většími obtížemi než muži. Jsem přesvědčen, že současnou vůlí Senátu je dělat vše pro to, abychom to odstranili a abychom se proti těmto nespravedlnostem postavili. A přesně o tom je Úmluva proti násilí – je to tom, že musíme dělat všechno pro to, aby ženy nebyly více napadány, více znásilňovány a více uzurpovány než muži. A aby v našich rodinách nemělo násilí místo. To je princip a smysl té Úmluvy.“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Za Senát na kulatém stolu rovněž vystoupili: Adéla Šípová, Marek Hilšer, Lumír Kantor, Václav Láska, David Smoljak a Ondřej Šimetka. Akci spoluorganizovala také senátorka Jana Kordová Marvanová.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Úmluvu Rady Evropy o prevenci a potírání násilí vůči ženám a domácího násilí podepsala Česká republika v květnu 2016, letos v červnu ji schválila Vláda ČR, nyní je v jednání obou komor parlamentu.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„Potírání domácího a sexuálního násilí je prioritou stávající vlády a také mojí prioritou v roli zmocněnkyně vlády pro lidská práva. Na Úřadu vlády připravujeme nový zákon o domácím násilí, vzniká nová koncepce práce s původci domácího násilí a dlouhodobě usilujeme o zlepšení dostupnosti specializovaných služeb pro oběti a jejich děti. Ratifikace Úmluvy Rady Evropy o prevenci a potírání násilí na ženách a domácího násilí by přinesla dvě klíčové změny. Za prvé, všechny naše kroky by se nám činily snadněji a rychleji, protože průběžně zlepšovat systém pomoci obětem násilí by byl mezinárodní závazek Česka. Za druhé, ratifikace Úmluvy by znamenala, že prevence domácího a sexuálního násilí se stane trvalou prioritou Česka bez ohledu na to, jaká vláda je zrovna u moci,“ uvedla zmocněnkyně vlády pro lidská práva Klára Šimáčková Laurenčíková.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 aktuálních výzvách spojených s prevencí a potíráním násilí na ženách a domácího násilí v české společnosti diskutovali kromě zástupců Senátu také odbornice a odborníci v oblasti lidských práv a pomáhajících organizací, zástupce policie, akademici i široká veřejnost. Řečníci hodnotili, jak Úmluva proti násilí může pomoci zranitelným skupinám lidí, zejména ženám, dětem a seniorům, a jaký bude mít vliv na zlepšení prevence, pomoc obětem a stíhání pachatelů, tedy hlavní pilíře, na kterých je Úmluva postavená. Panelu se účastnili i přeživší násilí, kteří se chtějí sdílením své zkušenosti zasadit o její přijetí a pomoci obětem nemlčet.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„Lidé, kteří zažili násilí, potřebují ujistit, že stát chce zlepšovat systém pomoci obětem, přijetím Úmluvy stát takový závazek jasně deklaruje. Nejde jen o příslib lepší společnosti, ale i o posílení naší demokracie, která si zakládá na ochraně lidských práv," konstatovala Hana Stelzerová, ředitelka České ženské lobby a mluvčí Hlasu proti násilí, iniciativy, která spoluorganizovala kulatý stůl.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„Úmluva proti násilí na ženách nijak neohrožuje tradiční rodinu, pokud pro vás součást tradiční rodiny není domácí násilí,” dodala zakladatelka nadace Krása pomoci Taťána Kuchařová.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Násilí zůstává v Česku nadále problémem. Podle výzkumů (Ipsos, Pod svícnem, 2022) má každá třetí žena a každý devátý muž zkušenost s domácím násilím. OSPOD každoročně registruje přibližně 2500 případů domácího násilí v rodinách, kde vyrůstají děti.</w:t>
      </w:r>
      <w:r w:rsidDel="00000000" w:rsidR="00000000" w:rsidRPr="00000000">
        <w:rPr>
          <w:vertAlign w:val="superscript"/>
          <w:rtl w:val="0"/>
        </w:rPr>
        <w:t xml:space="preserve">[1]</w:t>
      </w:r>
      <w:r w:rsidDel="00000000" w:rsidR="00000000" w:rsidRPr="00000000">
        <w:rPr>
          <w:rtl w:val="0"/>
        </w:rPr>
        <w:t xml:space="preserve"> Odhadem až 162 tisíc žen ročně vyhledá lékařskou pomoc kvůli domácímu násilí</w:t>
      </w:r>
      <w:r w:rsidDel="00000000" w:rsidR="00000000" w:rsidRPr="00000000">
        <w:rPr>
          <w:vertAlign w:val="superscript"/>
          <w:rtl w:val="0"/>
        </w:rPr>
        <w:t xml:space="preserve">[2]</w:t>
      </w:r>
      <w:r w:rsidDel="00000000" w:rsidR="00000000" w:rsidRPr="00000000">
        <w:rPr>
          <w:rtl w:val="0"/>
        </w:rPr>
        <w:t xml:space="preserve">, přičemž roční ekonomický dopad domácího násilí se odhaduje na 4,8 miliard korun.</w:t>
      </w:r>
      <w:r w:rsidDel="00000000" w:rsidR="00000000" w:rsidRPr="00000000">
        <w:rPr>
          <w:vertAlign w:val="superscript"/>
          <w:rtl w:val="0"/>
        </w:rPr>
        <w:t xml:space="preserve">[3] </w:t>
      </w:r>
      <w:r w:rsidDel="00000000" w:rsidR="00000000" w:rsidRPr="00000000">
        <w:rPr>
          <w:rtl w:val="0"/>
        </w:rPr>
        <w:t xml:space="preserve">Úmluva proti násilí je mezinárodní smlouva, která usiluje o zastavení závažného problému porušování lidských práv, kterými jsou násilí na ženách a domácí násilí. Jejím cílem je předcházet násilí a obětem a jejich dětem poskytnout adekvátní pomoc, ochranu a podporu, aby se mohly vymanit z násilí.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Úmluvu dosud ratifikovalo 37 států Rady Evropy, včetně 21 států EU. 1. října Úmluva vstoupila v platnost v EU a zavazuje nejen EU jako celek, ale i jednotlivé členské státy. Česká republika je jednou z posledních šesti zemí EU, které tuto standardní lidskoprávní Úmluvu dosud neratifikovaly.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Kontakt pro média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Hana Stelzerová, mluvčí koalice Hlas proti násilí a ředitelka České ženské lobby, email: hana.stelzerova@czlobby.cz, tel: +420 725 820 266.</w:t>
        <w:br w:type="textWrapping"/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vertAlign w:val="superscript"/>
          <w:rtl w:val="0"/>
        </w:rPr>
        <w:t xml:space="preserve">[1] </w:t>
      </w:r>
      <w:r w:rsidDel="00000000" w:rsidR="00000000" w:rsidRPr="00000000">
        <w:rPr>
          <w:rtl w:val="0"/>
        </w:rPr>
        <w:t xml:space="preserve">Úřad vlády, Úmluva Rady Evropy o prevenci a potírání násilí vůči ženám a domácího násilí: mýty a fakta, 2018, str. 4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vertAlign w:val="superscript"/>
          <w:rtl w:val="0"/>
        </w:rPr>
        <w:t xml:space="preserve">[2] </w:t>
      </w:r>
      <w:r w:rsidDel="00000000" w:rsidR="00000000" w:rsidRPr="00000000">
        <w:rPr>
          <w:rtl w:val="0"/>
        </w:rPr>
        <w:t xml:space="preserve">proFEM, Ekonomické dopady domácího násilí v oblasti zdraví, 2016, str. 34. Odhadovaný počet žen, které vyhledali lékařskou pomoc kvůli domácímu násilí v roce 2014.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vertAlign w:val="superscript"/>
          <w:rtl w:val="0"/>
        </w:rPr>
        <w:t xml:space="preserve">[3] </w:t>
      </w:r>
      <w:r w:rsidDel="00000000" w:rsidR="00000000" w:rsidRPr="00000000">
        <w:rPr>
          <w:rtl w:val="0"/>
        </w:rPr>
        <w:t xml:space="preserve">Úřad vlády, Úmluva Rady Evropy o prevenci a potírání násilí vůči ženám a domácího násilí: mýty a fakta, 2018, str. 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9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5043954</wp:posOffset>
            </wp:positionH>
            <wp:positionV relativeFrom="paragraph">
              <wp:posOffset>1504950</wp:posOffset>
            </wp:positionV>
            <wp:extent cx="966321" cy="107949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321" cy="10794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-851" w:firstLine="0"/>
      <w:rPr>
        <w:rFonts w:ascii="Arial" w:cs="Arial" w:eastAsia="Arial" w:hAnsi="Arial"/>
        <w:color w:val="4d5156"/>
        <w:sz w:val="16"/>
        <w:szCs w:val="16"/>
        <w:highlight w:val="white"/>
      </w:rPr>
    </w:pPr>
    <w:bookmarkStart w:colFirst="0" w:colLast="0" w:name="_7rq44ijtk7w" w:id="1"/>
    <w:bookmarkEnd w:id="1"/>
    <w:r w:rsidDel="00000000" w:rsidR="00000000" w:rsidRPr="00000000">
      <w:rPr>
        <w:rFonts w:ascii="Arial" w:cs="Arial" w:eastAsia="Arial" w:hAnsi="Arial"/>
        <w:color w:val="434343"/>
        <w:sz w:val="16"/>
        <w:szCs w:val="16"/>
        <w:rtl w:val="0"/>
      </w:rPr>
      <w:t xml:space="preserve">Amnesty International ČR </w:t>
    </w:r>
    <w:r w:rsidDel="00000000" w:rsidR="00000000" w:rsidRPr="00000000">
      <w:rPr>
        <w:rFonts w:ascii="Arial" w:cs="Arial" w:eastAsia="Arial" w:hAnsi="Arial"/>
        <w:color w:val="4d5156"/>
        <w:sz w:val="16"/>
        <w:szCs w:val="16"/>
        <w:highlight w:val="white"/>
        <w:rtl w:val="0"/>
      </w:rPr>
      <w:t xml:space="preserve">| Konsent | Ženy v právu | Česká ženská lobby | Otevřená společnost</w:t>
    </w:r>
  </w:p>
  <w:p w:rsidR="00000000" w:rsidDel="00000000" w:rsidP="00000000" w:rsidRDefault="00000000" w:rsidRPr="00000000" w14:paraId="0000003B">
    <w:pPr>
      <w:tabs>
        <w:tab w:val="center" w:leader="none" w:pos="4536"/>
        <w:tab w:val="right" w:leader="none" w:pos="9072"/>
      </w:tabs>
      <w:spacing w:after="0" w:line="240" w:lineRule="auto"/>
      <w:ind w:left="-851" w:firstLine="0"/>
      <w:rPr>
        <w:rFonts w:ascii="Arial" w:cs="Arial" w:eastAsia="Arial" w:hAnsi="Arial"/>
        <w:i w:val="1"/>
        <w:sz w:val="20"/>
        <w:szCs w:val="20"/>
      </w:rPr>
    </w:pPr>
    <w:bookmarkStart w:colFirst="0" w:colLast="0" w:name="_1ckbqvyhue13" w:id="2"/>
    <w:bookmarkEnd w:id="2"/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Chceme dát hlas těm, kteří zažili násilí. Společně prosazujeme přijetí Úmluvy proti násilí. </w:t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-851" w:firstLine="0"/>
      <w:rPr>
        <w:rFonts w:ascii="Arial" w:cs="Arial" w:eastAsia="Arial" w:hAnsi="Arial"/>
        <w:color w:val="4d5156"/>
        <w:sz w:val="16"/>
        <w:szCs w:val="16"/>
        <w:highlight w:val="white"/>
      </w:rPr>
    </w:pPr>
    <w:bookmarkStart w:colFirst="0" w:colLast="0" w:name="_6s7azgim0pxz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-851" w:firstLine="0"/>
      <w:rPr>
        <w:rFonts w:ascii="Arial" w:cs="Arial" w:eastAsia="Arial" w:hAnsi="Arial"/>
        <w:color w:val="434343"/>
        <w:sz w:val="14"/>
        <w:szCs w:val="14"/>
      </w:rPr>
    </w:pPr>
    <w:bookmarkStart w:colFirst="0" w:colLast="0" w:name="_btt5e1aluo6k" w:id="4"/>
    <w:bookmarkEnd w:id="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-851" w:firstLine="0"/>
      <w:jc w:val="both"/>
      <w:rPr>
        <w:rFonts w:ascii="Arial" w:cs="Arial" w:eastAsia="Arial" w:hAnsi="Arial"/>
        <w:color w:val="434343"/>
        <w:sz w:val="12"/>
        <w:szCs w:val="12"/>
      </w:rPr>
    </w:pPr>
    <w:bookmarkStart w:colFirst="0" w:colLast="0" w:name="_1ckbqvyhue13" w:id="2"/>
    <w:bookmarkEnd w:id="2"/>
    <w:r w:rsidDel="00000000" w:rsidR="00000000" w:rsidRPr="00000000">
      <w:rPr>
        <w:rFonts w:ascii="Arial" w:cs="Arial" w:eastAsia="Arial" w:hAnsi="Arial"/>
        <w:color w:val="434343"/>
        <w:sz w:val="12"/>
        <w:szCs w:val="12"/>
        <w:rtl w:val="0"/>
      </w:rPr>
      <w:t xml:space="preserve"> </w:t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-851" w:firstLine="0"/>
      <w:jc w:val="both"/>
      <w:rPr>
        <w:rFonts w:ascii="Arial" w:cs="Arial" w:eastAsia="Arial" w:hAnsi="Arial"/>
        <w:b w:val="1"/>
        <w:color w:val="434343"/>
        <w:sz w:val="12"/>
        <w:szCs w:val="12"/>
      </w:rPr>
    </w:pPr>
    <w:bookmarkStart w:colFirst="0" w:colLast="0" w:name="_550caywaz8t0" w:id="5"/>
    <w:bookmarkEnd w:id="5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5010150</wp:posOffset>
          </wp:positionH>
          <wp:positionV relativeFrom="paragraph">
            <wp:posOffset>-180974</wp:posOffset>
          </wp:positionV>
          <wp:extent cx="943292" cy="94329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3292" cy="9432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536"/>
        <w:tab w:val="right" w:leader="none" w:pos="9072"/>
      </w:tabs>
      <w:spacing w:after="0" w:line="240" w:lineRule="auto"/>
      <w:ind w:left="-851" w:firstLine="0"/>
      <w:rPr/>
    </w:pPr>
    <w:bookmarkStart w:colFirst="0" w:colLast="0" w:name="_3naqt78696ln" w:id="0"/>
    <w:bookmarkEnd w:id="0"/>
    <w:r w:rsidDel="00000000" w:rsidR="00000000" w:rsidRPr="00000000">
      <w:rPr>
        <w:rFonts w:ascii="Arial" w:cs="Arial" w:eastAsia="Arial" w:hAnsi="Arial"/>
        <w:color w:val="434343"/>
        <w:sz w:val="14"/>
        <w:szCs w:val="14"/>
        <w:rtl w:val="0"/>
      </w:rPr>
      <w:t xml:space="preserve">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